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F2D0" w14:textId="77777777" w:rsidR="00AA6A62" w:rsidRDefault="00AA6A62">
      <w:pPr>
        <w:pStyle w:val="BodyText"/>
        <w:spacing w:before="8"/>
        <w:rPr>
          <w:rFonts w:ascii="Times New Roman"/>
          <w:sz w:val="7"/>
        </w:rPr>
      </w:pPr>
    </w:p>
    <w:p w14:paraId="4C98F2D1" w14:textId="77777777" w:rsidR="00AA6A62" w:rsidRDefault="00150AB5">
      <w:pPr>
        <w:pStyle w:val="BodyText"/>
        <w:ind w:left="4087"/>
        <w:rPr>
          <w:rFonts w:ascii="Times New Roman"/>
          <w:sz w:val="20"/>
        </w:rPr>
      </w:pPr>
      <w:r>
        <w:rPr>
          <w:rFonts w:ascii="Times New Roman"/>
          <w:noProof/>
          <w:sz w:val="20"/>
        </w:rPr>
        <w:drawing>
          <wp:inline distT="0" distB="0" distL="0" distR="0" wp14:anchorId="4C98F2F3" wp14:editId="4C98F2F4">
            <wp:extent cx="1456557" cy="6840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456557" cy="684085"/>
                    </a:xfrm>
                    <a:prstGeom prst="rect">
                      <a:avLst/>
                    </a:prstGeom>
                  </pic:spPr>
                </pic:pic>
              </a:graphicData>
            </a:graphic>
          </wp:inline>
        </w:drawing>
      </w:r>
    </w:p>
    <w:p w14:paraId="4C98F2D2" w14:textId="4439D150" w:rsidR="00AA6A62" w:rsidRDefault="00150AB5" w:rsidP="00BA41CF">
      <w:pPr>
        <w:spacing w:before="136" w:line="261" w:lineRule="auto"/>
        <w:ind w:left="1800" w:right="1758" w:firstLine="22"/>
        <w:jc w:val="center"/>
        <w:rPr>
          <w:b/>
          <w:sz w:val="28"/>
        </w:rPr>
      </w:pPr>
      <w:r>
        <w:rPr>
          <w:b/>
          <w:sz w:val="28"/>
        </w:rPr>
        <w:t>F</w:t>
      </w:r>
      <w:r w:rsidR="00ED48AB">
        <w:rPr>
          <w:b/>
          <w:sz w:val="28"/>
        </w:rPr>
        <w:t>oundations of Medicine</w:t>
      </w:r>
      <w:r>
        <w:rPr>
          <w:b/>
          <w:sz w:val="28"/>
        </w:rPr>
        <w:t xml:space="preserve"> </w:t>
      </w:r>
      <w:r w:rsidR="00B37286">
        <w:rPr>
          <w:b/>
          <w:sz w:val="28"/>
        </w:rPr>
        <w:t>2</w:t>
      </w:r>
      <w:r>
        <w:rPr>
          <w:b/>
          <w:sz w:val="28"/>
        </w:rPr>
        <w:t xml:space="preserve"> C</w:t>
      </w:r>
      <w:r w:rsidR="00ED48AB">
        <w:rPr>
          <w:b/>
          <w:sz w:val="28"/>
        </w:rPr>
        <w:t>ourse</w:t>
      </w:r>
      <w:r w:rsidR="00BA41CF">
        <w:rPr>
          <w:b/>
          <w:sz w:val="28"/>
        </w:rPr>
        <w:br/>
      </w:r>
      <w:r>
        <w:rPr>
          <w:b/>
          <w:sz w:val="28"/>
        </w:rPr>
        <w:t>2023</w:t>
      </w:r>
    </w:p>
    <w:p w14:paraId="4C98F2D3" w14:textId="1B2E7BD3" w:rsidR="00AA6A62" w:rsidRDefault="00150AB5">
      <w:pPr>
        <w:tabs>
          <w:tab w:val="left" w:pos="2988"/>
        </w:tabs>
        <w:spacing w:before="173" w:line="252" w:lineRule="exact"/>
        <w:ind w:left="107"/>
      </w:pPr>
      <w:r>
        <w:rPr>
          <w:b/>
        </w:rPr>
        <w:t>Session Name:</w:t>
      </w:r>
      <w:r>
        <w:rPr>
          <w:b/>
        </w:rPr>
        <w:tab/>
      </w:r>
      <w:r w:rsidR="00B37286">
        <w:t>Introduction to Critical Appraisal</w:t>
      </w:r>
    </w:p>
    <w:p w14:paraId="4C98F2D4" w14:textId="3114453C" w:rsidR="00AA6A62" w:rsidRDefault="00150AB5">
      <w:pPr>
        <w:pStyle w:val="BodyText"/>
        <w:tabs>
          <w:tab w:val="left" w:pos="2988"/>
        </w:tabs>
        <w:spacing w:line="252" w:lineRule="exact"/>
        <w:ind w:left="107"/>
      </w:pPr>
      <w:r>
        <w:rPr>
          <w:b/>
        </w:rPr>
        <w:t>Hours:</w:t>
      </w:r>
      <w:r>
        <w:rPr>
          <w:b/>
        </w:rPr>
        <w:tab/>
      </w:r>
      <w:r>
        <w:t>1</w:t>
      </w:r>
      <w:r w:rsidR="007C0AF9">
        <w:t>0</w:t>
      </w:r>
      <w:r>
        <w:t>:00</w:t>
      </w:r>
      <w:r w:rsidR="007C0AF9">
        <w:t>A</w:t>
      </w:r>
      <w:r>
        <w:t xml:space="preserve">M - </w:t>
      </w:r>
      <w:r w:rsidR="007C0AF9">
        <w:t>12</w:t>
      </w:r>
      <w:r>
        <w:t>:00PM (</w:t>
      </w:r>
      <w:r w:rsidR="007C0AF9">
        <w:t xml:space="preserve">Lecture &amp; </w:t>
      </w:r>
      <w:r>
        <w:t>Small Group Session</w:t>
      </w:r>
      <w:r>
        <w:rPr>
          <w:spacing w:val="-7"/>
        </w:rPr>
        <w:t xml:space="preserve"> </w:t>
      </w:r>
      <w:r>
        <w:t>Format)</w:t>
      </w:r>
    </w:p>
    <w:p w14:paraId="4C98F2D6" w14:textId="3A46969A" w:rsidR="00AA6A62" w:rsidRDefault="00150AB5">
      <w:pPr>
        <w:tabs>
          <w:tab w:val="left" w:pos="2988"/>
        </w:tabs>
        <w:spacing w:before="1" w:line="252" w:lineRule="exact"/>
        <w:ind w:left="107"/>
      </w:pPr>
      <w:r>
        <w:rPr>
          <w:b/>
        </w:rPr>
        <w:t>Date:</w:t>
      </w:r>
      <w:r>
        <w:rPr>
          <w:b/>
        </w:rPr>
        <w:tab/>
      </w:r>
      <w:r>
        <w:t xml:space="preserve">February </w:t>
      </w:r>
      <w:r w:rsidR="00B37286">
        <w:t>9</w:t>
      </w:r>
      <w:r>
        <w:t>,</w:t>
      </w:r>
      <w:r>
        <w:rPr>
          <w:spacing w:val="-1"/>
        </w:rPr>
        <w:t xml:space="preserve"> </w:t>
      </w:r>
      <w:r>
        <w:t>2023</w:t>
      </w:r>
    </w:p>
    <w:p w14:paraId="4C98F2DA" w14:textId="24F92903" w:rsidR="00AA6A62" w:rsidRDefault="00150AB5" w:rsidP="00CA579C">
      <w:pPr>
        <w:spacing w:line="252" w:lineRule="exact"/>
        <w:ind w:left="107"/>
      </w:pPr>
      <w:r>
        <w:rPr>
          <w:b/>
        </w:rPr>
        <w:t>Faculty</w:t>
      </w:r>
      <w:r>
        <w:t>:</w:t>
      </w:r>
      <w:r w:rsidR="007C0AF9">
        <w:t xml:space="preserve">                                  Dr. Stacy Rubin &amp; Ms. Michelle Keba Knecht</w:t>
      </w:r>
    </w:p>
    <w:p w14:paraId="4C98F2DE" w14:textId="77777777" w:rsidR="00AA6A62" w:rsidRDefault="00AA6A62">
      <w:pPr>
        <w:pStyle w:val="BodyText"/>
        <w:spacing w:before="1"/>
        <w:rPr>
          <w:sz w:val="14"/>
        </w:rPr>
      </w:pPr>
    </w:p>
    <w:p w14:paraId="4C98F2DF" w14:textId="057910A9" w:rsidR="00AA6A62" w:rsidRDefault="007C0AF9">
      <w:pPr>
        <w:pStyle w:val="BodyText"/>
        <w:spacing w:before="93"/>
        <w:ind w:left="107" w:right="113"/>
      </w:pPr>
      <w:r>
        <w:t xml:space="preserve">In this session, </w:t>
      </w:r>
      <w:r w:rsidR="00564862">
        <w:t xml:space="preserve">first year medical </w:t>
      </w:r>
      <w:r>
        <w:t>students</w:t>
      </w:r>
      <w:r w:rsidR="00564862">
        <w:t xml:space="preserve"> in their second semester of study</w:t>
      </w:r>
      <w:r>
        <w:t xml:space="preserve"> are introduced to the concept of critical appraisal. During the first hour, students will receive an introductory lecture on critical appraisal and the CASP checklist tool. </w:t>
      </w:r>
      <w:r w:rsidR="00BA41CF">
        <w:t xml:space="preserve">During the second hour, </w:t>
      </w:r>
      <w:r w:rsidR="00150AB5">
        <w:t xml:space="preserve">students will be provided with </w:t>
      </w:r>
      <w:r w:rsidR="00BA41CF">
        <w:t xml:space="preserve">discussion questions and </w:t>
      </w:r>
      <w:r w:rsidR="00150AB5">
        <w:t>an article on l</w:t>
      </w:r>
      <w:r w:rsidR="00150AB5" w:rsidRPr="00BA41CF">
        <w:t xml:space="preserve">abor </w:t>
      </w:r>
      <w:r w:rsidR="00150AB5">
        <w:t>i</w:t>
      </w:r>
      <w:r w:rsidR="00150AB5" w:rsidRPr="00BA41CF">
        <w:t xml:space="preserve">nduction versus </w:t>
      </w:r>
      <w:r w:rsidR="00150AB5">
        <w:t>e</w:t>
      </w:r>
      <w:r w:rsidR="00150AB5" w:rsidRPr="00BA41CF">
        <w:t xml:space="preserve">xpectant </w:t>
      </w:r>
      <w:r w:rsidR="00150AB5">
        <w:t>m</w:t>
      </w:r>
      <w:r w:rsidR="00150AB5" w:rsidRPr="00BA41CF">
        <w:t xml:space="preserve">anagement in </w:t>
      </w:r>
      <w:r w:rsidR="00150AB5">
        <w:t>l</w:t>
      </w:r>
      <w:r w:rsidR="00150AB5" w:rsidRPr="00BA41CF">
        <w:t>ow-</w:t>
      </w:r>
      <w:r w:rsidR="00150AB5">
        <w:t>r</w:t>
      </w:r>
      <w:r w:rsidR="00150AB5" w:rsidRPr="00BA41CF">
        <w:t xml:space="preserve">isk </w:t>
      </w:r>
      <w:r w:rsidR="00150AB5">
        <w:t>n</w:t>
      </w:r>
      <w:r w:rsidR="00150AB5" w:rsidRPr="00BA41CF">
        <w:t xml:space="preserve">ulliparous </w:t>
      </w:r>
      <w:r w:rsidR="00150AB5">
        <w:t>w</w:t>
      </w:r>
      <w:r w:rsidR="00150AB5" w:rsidRPr="00BA41CF">
        <w:t>omen</w:t>
      </w:r>
      <w:r w:rsidR="00BA41CF">
        <w:t xml:space="preserve">. </w:t>
      </w:r>
      <w:r w:rsidR="00150AB5">
        <w:t>Students</w:t>
      </w:r>
      <w:r w:rsidR="00BA41CF">
        <w:t xml:space="preserve"> will review the article and answer the discussion questions in their small groups</w:t>
      </w:r>
      <w:r w:rsidR="00CA579C">
        <w:t xml:space="preserve"> with their small group facilitators.</w:t>
      </w:r>
    </w:p>
    <w:p w14:paraId="4C98F2E0" w14:textId="77777777" w:rsidR="00AA6A62" w:rsidRDefault="00AA6A62">
      <w:pPr>
        <w:pStyle w:val="BodyText"/>
      </w:pPr>
    </w:p>
    <w:p w14:paraId="4C98F2E1" w14:textId="1B2E6CC1" w:rsidR="00AA6A62" w:rsidRDefault="00150AB5">
      <w:pPr>
        <w:pStyle w:val="BodyText"/>
        <w:spacing w:before="1"/>
        <w:ind w:left="107" w:right="468"/>
      </w:pPr>
      <w:r>
        <w:t xml:space="preserve">The session </w:t>
      </w:r>
      <w:r w:rsidR="007C0AF9">
        <w:t>introduces critical appraisal topics including blinding, randomization, concealment allocation, intention-to-treat analysis, power, statistical significance, and clinical significance</w:t>
      </w:r>
      <w:r>
        <w:t>.</w:t>
      </w:r>
    </w:p>
    <w:p w14:paraId="4C98F2E2" w14:textId="77777777" w:rsidR="00AA6A62" w:rsidRDefault="00AA6A62">
      <w:pPr>
        <w:pStyle w:val="BodyText"/>
        <w:spacing w:before="10"/>
        <w:rPr>
          <w:sz w:val="21"/>
        </w:rPr>
      </w:pPr>
    </w:p>
    <w:p w14:paraId="4C98F2E3" w14:textId="77777777" w:rsidR="00AA6A62" w:rsidRDefault="00150AB5">
      <w:pPr>
        <w:pStyle w:val="BodyText"/>
        <w:spacing w:before="1" w:line="252" w:lineRule="exact"/>
        <w:ind w:left="107"/>
      </w:pPr>
      <w:r>
        <w:t>Objectives:</w:t>
      </w:r>
    </w:p>
    <w:p w14:paraId="4C98F2E4" w14:textId="6630434E" w:rsidR="00AA6A62" w:rsidRDefault="00BA41CF">
      <w:pPr>
        <w:pStyle w:val="ListParagraph"/>
        <w:numPr>
          <w:ilvl w:val="0"/>
          <w:numId w:val="2"/>
        </w:numPr>
        <w:tabs>
          <w:tab w:val="left" w:pos="829"/>
        </w:tabs>
        <w:ind w:hanging="361"/>
      </w:pPr>
      <w:r>
        <w:t>Recognize basic</w:t>
      </w:r>
      <w:r w:rsidR="00150AB5">
        <w:t xml:space="preserve"> statistical and epidemiologic principles and</w:t>
      </w:r>
      <w:r w:rsidR="00150AB5">
        <w:rPr>
          <w:spacing w:val="-9"/>
        </w:rPr>
        <w:t xml:space="preserve"> </w:t>
      </w:r>
      <w:r w:rsidR="00150AB5">
        <w:t>methods</w:t>
      </w:r>
      <w:r>
        <w:t xml:space="preserve"> in a randomized control trial</w:t>
      </w:r>
      <w:r w:rsidR="00150AB5">
        <w:t>.</w:t>
      </w:r>
    </w:p>
    <w:p w14:paraId="4C98F2E5" w14:textId="4AFECFDA" w:rsidR="00AA6A62" w:rsidRDefault="00150AB5">
      <w:pPr>
        <w:pStyle w:val="ListParagraph"/>
        <w:numPr>
          <w:ilvl w:val="0"/>
          <w:numId w:val="2"/>
        </w:numPr>
        <w:tabs>
          <w:tab w:val="left" w:pos="829"/>
        </w:tabs>
        <w:spacing w:before="1"/>
        <w:ind w:hanging="361"/>
      </w:pPr>
      <w:r>
        <w:t xml:space="preserve">Critically </w:t>
      </w:r>
      <w:r w:rsidR="00BA41CF">
        <w:t xml:space="preserve">appraise </w:t>
      </w:r>
      <w:r>
        <w:t xml:space="preserve">a </w:t>
      </w:r>
      <w:r w:rsidR="00BA41CF">
        <w:t>randomized control trial</w:t>
      </w:r>
      <w:r>
        <w:t xml:space="preserve"> that is published in a peer-reviewed</w:t>
      </w:r>
      <w:r>
        <w:rPr>
          <w:spacing w:val="-7"/>
        </w:rPr>
        <w:t xml:space="preserve"> </w:t>
      </w:r>
      <w:r>
        <w:t>journal.</w:t>
      </w:r>
    </w:p>
    <w:p w14:paraId="4C98F2E7" w14:textId="77777777" w:rsidR="00AA6A62" w:rsidRDefault="00AA6A62">
      <w:pPr>
        <w:pStyle w:val="BodyText"/>
      </w:pPr>
    </w:p>
    <w:p w14:paraId="4C98F2E8" w14:textId="77777777" w:rsidR="00AA6A62" w:rsidRDefault="00150AB5">
      <w:pPr>
        <w:pStyle w:val="BodyText"/>
        <w:spacing w:line="252" w:lineRule="exact"/>
        <w:ind w:left="107"/>
      </w:pPr>
      <w:r>
        <w:t>Session plan:</w:t>
      </w:r>
    </w:p>
    <w:p w14:paraId="74C5ED62" w14:textId="2BF51753" w:rsidR="00BA41CF" w:rsidRDefault="00150AB5">
      <w:pPr>
        <w:pStyle w:val="ListParagraph"/>
        <w:numPr>
          <w:ilvl w:val="0"/>
          <w:numId w:val="1"/>
        </w:numPr>
        <w:tabs>
          <w:tab w:val="left" w:pos="829"/>
        </w:tabs>
        <w:spacing w:line="240" w:lineRule="auto"/>
        <w:ind w:right="253"/>
      </w:pPr>
      <w:r>
        <w:t xml:space="preserve">All students should meet in </w:t>
      </w:r>
      <w:r w:rsidR="007C0AF9">
        <w:t xml:space="preserve">the </w:t>
      </w:r>
      <w:r w:rsidR="00BA41CF">
        <w:t xml:space="preserve">Gelb Classroom </w:t>
      </w:r>
      <w:r>
        <w:t xml:space="preserve">at 10:00 AM. </w:t>
      </w:r>
      <w:r w:rsidR="00BA41CF">
        <w:t>Ms. Knecht will provide an introductory lecture on critical appraisal and the CASP checklist tool from 10:00-10:50AM.</w:t>
      </w:r>
    </w:p>
    <w:p w14:paraId="745A3971" w14:textId="78E1EE66" w:rsidR="00BA41CF" w:rsidRDefault="00150AB5" w:rsidP="00BA41CF">
      <w:pPr>
        <w:pStyle w:val="ListParagraph"/>
        <w:numPr>
          <w:ilvl w:val="0"/>
          <w:numId w:val="1"/>
        </w:numPr>
        <w:tabs>
          <w:tab w:val="left" w:pos="829"/>
        </w:tabs>
        <w:spacing w:line="240" w:lineRule="auto"/>
        <w:ind w:right="253"/>
      </w:pPr>
      <w:r>
        <w:t>From 1</w:t>
      </w:r>
      <w:r w:rsidR="00BA41CF">
        <w:t>1</w:t>
      </w:r>
      <w:r>
        <w:t>:00-1</w:t>
      </w:r>
      <w:r w:rsidR="00BA41CF">
        <w:t>1:</w:t>
      </w:r>
      <w:r>
        <w:t>3</w:t>
      </w:r>
      <w:r w:rsidR="00BA41CF">
        <w:t>0</w:t>
      </w:r>
      <w:r>
        <w:t xml:space="preserve"> </w:t>
      </w:r>
      <w:r w:rsidR="00BA41CF">
        <w:t>AM</w:t>
      </w:r>
      <w:r>
        <w:t>, s</w:t>
      </w:r>
      <w:r w:rsidR="00BA41CF">
        <w:t xml:space="preserve">tudents will review the </w:t>
      </w:r>
      <w:r w:rsidR="00CA579C">
        <w:t xml:space="preserve">New England Journal of Medicine </w:t>
      </w:r>
      <w:r w:rsidR="00BA41CF">
        <w:t>article “</w:t>
      </w:r>
      <w:r w:rsidR="00BA41CF" w:rsidRPr="00BA41CF">
        <w:t>Labor Induction versus Expectant Management in Low-Risk Nulliparous Wome</w:t>
      </w:r>
      <w:r>
        <w:t>n” and answer the associated discussion questions in their small groups</w:t>
      </w:r>
      <w:r w:rsidR="00CA579C">
        <w:t xml:space="preserve"> with their small group facilitators</w:t>
      </w:r>
      <w:r>
        <w:t xml:space="preserve">. </w:t>
      </w:r>
      <w:r w:rsidR="00BA41CF">
        <w:rPr>
          <w:b/>
        </w:rPr>
        <w:t>Reading this paper prior to the session is encouraged</w:t>
      </w:r>
      <w:r w:rsidR="00BA41CF">
        <w:t xml:space="preserve">. </w:t>
      </w:r>
    </w:p>
    <w:p w14:paraId="4C98F2EA" w14:textId="41962F43" w:rsidR="00AA6A62" w:rsidRDefault="00150AB5">
      <w:pPr>
        <w:pStyle w:val="ListParagraph"/>
        <w:numPr>
          <w:ilvl w:val="0"/>
          <w:numId w:val="1"/>
        </w:numPr>
        <w:tabs>
          <w:tab w:val="left" w:pos="829"/>
        </w:tabs>
        <w:spacing w:before="1" w:line="253" w:lineRule="exact"/>
        <w:ind w:hanging="361"/>
      </w:pPr>
      <w:r>
        <w:t>From 11:30-11:50 AM Dr. Rubin and Ms. Knecht will hold a large group discussion and review the discussion questions with the class.</w:t>
      </w:r>
    </w:p>
    <w:p w14:paraId="703E73AF" w14:textId="3418A26B" w:rsidR="00EE5BF4" w:rsidRDefault="00EE5BF4" w:rsidP="00EE5BF4">
      <w:pPr>
        <w:tabs>
          <w:tab w:val="left" w:pos="829"/>
        </w:tabs>
        <w:spacing w:before="1" w:line="253" w:lineRule="exact"/>
      </w:pPr>
    </w:p>
    <w:p w14:paraId="322C2EEA" w14:textId="77777777" w:rsidR="00EE5BF4" w:rsidRDefault="00EE5BF4" w:rsidP="00EE5BF4">
      <w:pPr>
        <w:pStyle w:val="BodyText"/>
        <w:spacing w:before="1"/>
        <w:ind w:left="107" w:right="468"/>
      </w:pPr>
      <w:r>
        <w:t>Related course assignment:</w:t>
      </w:r>
    </w:p>
    <w:p w14:paraId="6410832C" w14:textId="5F705C00" w:rsidR="00EE5BF4" w:rsidRDefault="00EE5BF4" w:rsidP="00EE5BF4">
      <w:pPr>
        <w:pStyle w:val="BodyText"/>
        <w:spacing w:before="1"/>
        <w:ind w:left="720" w:right="468"/>
      </w:pPr>
      <w:r>
        <w:t xml:space="preserve">In March, students will be given a randomized control trial related to a standardized patient in their Clinical Learning Group. Each student will read the article and independently complete a critical appraisal of the study using the CASP checklist tool. Students’ assignments will be graded </w:t>
      </w:r>
      <w:r w:rsidRPr="00EE5BF4">
        <w:t xml:space="preserve">on the clarity and quality of </w:t>
      </w:r>
      <w:r>
        <w:t xml:space="preserve">their </w:t>
      </w:r>
      <w:r w:rsidRPr="00EE5BF4">
        <w:t xml:space="preserve">rationale for each response with well-supported statements using evidence from the study.  </w:t>
      </w:r>
    </w:p>
    <w:p w14:paraId="301BB645" w14:textId="77777777" w:rsidR="00EE5BF4" w:rsidRDefault="00EE5BF4" w:rsidP="00EE5BF4">
      <w:pPr>
        <w:tabs>
          <w:tab w:val="left" w:pos="829"/>
        </w:tabs>
        <w:spacing w:before="1" w:line="253" w:lineRule="exact"/>
      </w:pPr>
    </w:p>
    <w:p w14:paraId="4C98F2EC" w14:textId="77777777" w:rsidR="00AA6A62" w:rsidRDefault="00AA6A62">
      <w:pPr>
        <w:pStyle w:val="BodyText"/>
      </w:pPr>
    </w:p>
    <w:p w14:paraId="4C98F2ED" w14:textId="77777777" w:rsidR="00AA6A62" w:rsidRDefault="00150AB5">
      <w:pPr>
        <w:pStyle w:val="BodyText"/>
        <w:spacing w:line="252" w:lineRule="exact"/>
        <w:ind w:left="107"/>
      </w:pPr>
      <w:r>
        <w:t>Reference:</w:t>
      </w:r>
    </w:p>
    <w:p w14:paraId="4C98F2EE" w14:textId="17D751A2" w:rsidR="00AA6A62" w:rsidRDefault="00150AB5">
      <w:pPr>
        <w:pStyle w:val="BodyText"/>
        <w:ind w:left="107" w:right="347"/>
      </w:pPr>
      <w:r>
        <w:t xml:space="preserve">1. </w:t>
      </w:r>
      <w:proofErr w:type="spellStart"/>
      <w:r>
        <w:t>Grobman</w:t>
      </w:r>
      <w:proofErr w:type="spellEnd"/>
      <w:r>
        <w:t xml:space="preserve"> WA, Rice MM, Reddy UM, et al. </w:t>
      </w:r>
      <w:r w:rsidRPr="00BA41CF">
        <w:t xml:space="preserve">Labor </w:t>
      </w:r>
      <w:r>
        <w:t>i</w:t>
      </w:r>
      <w:r w:rsidRPr="00BA41CF">
        <w:t xml:space="preserve">nduction versus </w:t>
      </w:r>
      <w:r>
        <w:t>e</w:t>
      </w:r>
      <w:r w:rsidRPr="00BA41CF">
        <w:t xml:space="preserve">xpectant </w:t>
      </w:r>
      <w:r>
        <w:t>m</w:t>
      </w:r>
      <w:r w:rsidRPr="00BA41CF">
        <w:t xml:space="preserve">anagement in </w:t>
      </w:r>
      <w:r>
        <w:t>l</w:t>
      </w:r>
      <w:r w:rsidRPr="00BA41CF">
        <w:t>ow-</w:t>
      </w:r>
      <w:r>
        <w:t>r</w:t>
      </w:r>
      <w:r w:rsidRPr="00BA41CF">
        <w:t xml:space="preserve">isk </w:t>
      </w:r>
      <w:r>
        <w:t>n</w:t>
      </w:r>
      <w:r w:rsidRPr="00BA41CF">
        <w:t xml:space="preserve">ulliparous </w:t>
      </w:r>
      <w:r>
        <w:t>w</w:t>
      </w:r>
      <w:r w:rsidRPr="00BA41CF">
        <w:t>omen</w:t>
      </w:r>
      <w:r>
        <w:t xml:space="preserve">. </w:t>
      </w:r>
      <w:r>
        <w:rPr>
          <w:i/>
        </w:rPr>
        <w:t xml:space="preserve">N </w:t>
      </w:r>
      <w:proofErr w:type="spellStart"/>
      <w:r>
        <w:rPr>
          <w:i/>
        </w:rPr>
        <w:t>Engl</w:t>
      </w:r>
      <w:proofErr w:type="spellEnd"/>
      <w:r>
        <w:rPr>
          <w:i/>
        </w:rPr>
        <w:t xml:space="preserve"> J Med</w:t>
      </w:r>
      <w:r>
        <w:t xml:space="preserve">. </w:t>
      </w:r>
      <w:proofErr w:type="gramStart"/>
      <w:r>
        <w:t>2018;379:513</w:t>
      </w:r>
      <w:proofErr w:type="gramEnd"/>
      <w:r>
        <w:t>-523.</w:t>
      </w:r>
    </w:p>
    <w:p w14:paraId="4C98F2EF" w14:textId="77777777" w:rsidR="00AA6A62" w:rsidRDefault="00AA6A62">
      <w:pPr>
        <w:pStyle w:val="BodyText"/>
        <w:rPr>
          <w:sz w:val="20"/>
        </w:rPr>
      </w:pPr>
    </w:p>
    <w:p w14:paraId="4C98F2F0" w14:textId="23A76EFC" w:rsidR="008B35BE" w:rsidRDefault="008B35BE">
      <w:pPr>
        <w:rPr>
          <w:sz w:val="20"/>
        </w:rPr>
      </w:pPr>
      <w:r>
        <w:rPr>
          <w:sz w:val="20"/>
        </w:rPr>
        <w:br w:type="page"/>
      </w:r>
    </w:p>
    <w:p w14:paraId="2BF3D496" w14:textId="16EB3CB2" w:rsidR="008B35BE" w:rsidRPr="00D46C88" w:rsidRDefault="008B35BE" w:rsidP="008B35BE">
      <w:pPr>
        <w:spacing w:line="300" w:lineRule="auto"/>
        <w:rPr>
          <w:color w:val="FF0000"/>
        </w:rPr>
      </w:pPr>
      <w:r>
        <w:rPr>
          <w:b/>
        </w:rPr>
        <w:lastRenderedPageBreak/>
        <w:t xml:space="preserve">Intro to Critical Appraisal Lecture </w:t>
      </w:r>
      <w:r w:rsidRPr="00D46C88">
        <w:rPr>
          <w:b/>
        </w:rPr>
        <w:t xml:space="preserve">Outline: </w:t>
      </w:r>
      <w:r w:rsidRPr="00D46C88">
        <w:rPr>
          <w:color w:val="FF0000"/>
        </w:rPr>
        <w:t>(</w:t>
      </w:r>
      <w:r>
        <w:rPr>
          <w:color w:val="FF0000"/>
        </w:rPr>
        <w:t>60</w:t>
      </w:r>
      <w:r w:rsidRPr="00D46C88">
        <w:rPr>
          <w:color w:val="FF0000"/>
        </w:rPr>
        <w:t xml:space="preserve"> minutes)</w:t>
      </w:r>
    </w:p>
    <w:p w14:paraId="442F55A2" w14:textId="77777777" w:rsidR="008B35BE" w:rsidRPr="00D46C88" w:rsidRDefault="008B35BE" w:rsidP="008B35BE">
      <w:pPr>
        <w:pStyle w:val="ListParagraph"/>
        <w:widowControl/>
        <w:numPr>
          <w:ilvl w:val="0"/>
          <w:numId w:val="3"/>
        </w:numPr>
        <w:autoSpaceDE/>
        <w:autoSpaceDN/>
        <w:spacing w:line="300" w:lineRule="auto"/>
        <w:contextualSpacing/>
      </w:pPr>
      <w:r>
        <w:rPr>
          <w:b/>
        </w:rPr>
        <w:t>Agenda &amp; Tie Back to Prior Learning</w:t>
      </w:r>
      <w:r w:rsidRPr="00D46C88">
        <w:t xml:space="preserve"> </w:t>
      </w:r>
    </w:p>
    <w:p w14:paraId="66F50B34" w14:textId="77777777" w:rsidR="008B35BE" w:rsidRPr="004B6A67" w:rsidRDefault="008B35BE" w:rsidP="008B35BE">
      <w:pPr>
        <w:pStyle w:val="ListParagraph"/>
        <w:widowControl/>
        <w:numPr>
          <w:ilvl w:val="1"/>
          <w:numId w:val="3"/>
        </w:numPr>
        <w:autoSpaceDE/>
        <w:autoSpaceDN/>
        <w:spacing w:after="160" w:line="259" w:lineRule="auto"/>
        <w:contextualSpacing/>
      </w:pPr>
      <w:r w:rsidRPr="004B6A67">
        <w:t>Definition of evidence-based medicine and its importance to patient care</w:t>
      </w:r>
    </w:p>
    <w:p w14:paraId="7B7015F5" w14:textId="637ACCD7" w:rsidR="008B35BE" w:rsidRDefault="008B35BE" w:rsidP="008B35BE">
      <w:pPr>
        <w:pStyle w:val="ListParagraph"/>
        <w:widowControl/>
        <w:numPr>
          <w:ilvl w:val="1"/>
          <w:numId w:val="3"/>
        </w:numPr>
        <w:autoSpaceDE/>
        <w:autoSpaceDN/>
        <w:spacing w:after="160" w:line="259" w:lineRule="auto"/>
        <w:contextualSpacing/>
      </w:pPr>
      <w:r w:rsidRPr="004B6A67">
        <w:t>Brief overview of the 5A’s of EBM</w:t>
      </w:r>
    </w:p>
    <w:p w14:paraId="7911411F" w14:textId="5226BC1C" w:rsidR="0079597B" w:rsidRDefault="0079597B" w:rsidP="0079597B">
      <w:pPr>
        <w:pStyle w:val="ListParagraph"/>
        <w:widowControl/>
        <w:numPr>
          <w:ilvl w:val="1"/>
          <w:numId w:val="3"/>
        </w:numPr>
        <w:autoSpaceDE/>
        <w:autoSpaceDN/>
        <w:spacing w:after="160" w:line="259" w:lineRule="auto"/>
        <w:contextualSpacing/>
      </w:pPr>
      <w:r>
        <w:t>Assignment objective, instructions, and grading</w:t>
      </w:r>
    </w:p>
    <w:p w14:paraId="160755D0" w14:textId="5226BC1C" w:rsidR="008B35BE" w:rsidRPr="001D01F7" w:rsidRDefault="008B35BE" w:rsidP="008B35BE">
      <w:pPr>
        <w:pStyle w:val="ListParagraph"/>
        <w:widowControl/>
        <w:numPr>
          <w:ilvl w:val="0"/>
          <w:numId w:val="3"/>
        </w:numPr>
        <w:autoSpaceDE/>
        <w:autoSpaceDN/>
        <w:spacing w:after="160" w:line="259" w:lineRule="auto"/>
        <w:contextualSpacing/>
        <w:rPr>
          <w:b/>
        </w:rPr>
      </w:pPr>
      <w:r>
        <w:rPr>
          <w:b/>
        </w:rPr>
        <w:t>Intro to Critical Appraisal</w:t>
      </w:r>
    </w:p>
    <w:p w14:paraId="3273BF24" w14:textId="71CD13BA" w:rsidR="008B35BE" w:rsidRDefault="008B35BE" w:rsidP="008B35BE">
      <w:pPr>
        <w:pStyle w:val="ListParagraph"/>
        <w:widowControl/>
        <w:numPr>
          <w:ilvl w:val="1"/>
          <w:numId w:val="3"/>
        </w:numPr>
        <w:autoSpaceDE/>
        <w:autoSpaceDN/>
        <w:spacing w:after="160" w:line="259" w:lineRule="auto"/>
        <w:contextualSpacing/>
      </w:pPr>
      <w:proofErr w:type="spellStart"/>
      <w:r>
        <w:t>Dopesick</w:t>
      </w:r>
      <w:proofErr w:type="spellEnd"/>
      <w:r>
        <w:t xml:space="preserve"> example – </w:t>
      </w:r>
      <w:r w:rsidR="0079597B">
        <w:t xml:space="preserve">“Research study” quoted by Purdue Pharma sales reps was actually a 5 sentence </w:t>
      </w:r>
      <w:r>
        <w:t>NEJM letter to the editor</w:t>
      </w:r>
    </w:p>
    <w:p w14:paraId="1D7892DC" w14:textId="77777777" w:rsidR="008B35BE" w:rsidRDefault="008B35BE" w:rsidP="008B35BE">
      <w:pPr>
        <w:pStyle w:val="ListParagraph"/>
        <w:widowControl/>
        <w:numPr>
          <w:ilvl w:val="1"/>
          <w:numId w:val="3"/>
        </w:numPr>
        <w:autoSpaceDE/>
        <w:autoSpaceDN/>
        <w:spacing w:after="160" w:line="259" w:lineRule="auto"/>
        <w:contextualSpacing/>
      </w:pPr>
      <w:r>
        <w:t>Importance of critical appraisal</w:t>
      </w:r>
    </w:p>
    <w:p w14:paraId="5922095C" w14:textId="77777777" w:rsidR="008B35BE" w:rsidRPr="001D01F7" w:rsidRDefault="008B35BE" w:rsidP="008B35BE">
      <w:pPr>
        <w:pStyle w:val="ListParagraph"/>
        <w:widowControl/>
        <w:numPr>
          <w:ilvl w:val="0"/>
          <w:numId w:val="3"/>
        </w:numPr>
        <w:autoSpaceDE/>
        <w:autoSpaceDN/>
        <w:spacing w:after="160" w:line="259" w:lineRule="auto"/>
        <w:contextualSpacing/>
        <w:rPr>
          <w:b/>
        </w:rPr>
      </w:pPr>
      <w:r>
        <w:rPr>
          <w:b/>
        </w:rPr>
        <w:t>CASP Checklist</w:t>
      </w:r>
    </w:p>
    <w:p w14:paraId="09CE0470" w14:textId="77777777" w:rsidR="008B35BE" w:rsidRPr="001D55BF" w:rsidRDefault="008B35BE" w:rsidP="008B35BE">
      <w:pPr>
        <w:pStyle w:val="ListParagraph"/>
        <w:widowControl/>
        <w:numPr>
          <w:ilvl w:val="1"/>
          <w:numId w:val="3"/>
        </w:numPr>
        <w:autoSpaceDE/>
        <w:autoSpaceDN/>
        <w:spacing w:after="160" w:line="259" w:lineRule="auto"/>
        <w:contextualSpacing/>
        <w:rPr>
          <w:b/>
        </w:rPr>
      </w:pPr>
      <w:r>
        <w:t>Overview of CASP Checklists – this assignment will use the checklist for RCTs</w:t>
      </w:r>
    </w:p>
    <w:p w14:paraId="3F8CF363" w14:textId="77777777" w:rsidR="008B35BE" w:rsidRPr="001D55BF" w:rsidRDefault="008B35BE" w:rsidP="008B35BE">
      <w:pPr>
        <w:pStyle w:val="ListParagraph"/>
        <w:widowControl/>
        <w:numPr>
          <w:ilvl w:val="1"/>
          <w:numId w:val="3"/>
        </w:numPr>
        <w:autoSpaceDE/>
        <w:autoSpaceDN/>
        <w:spacing w:after="160" w:line="259" w:lineRule="auto"/>
        <w:contextualSpacing/>
        <w:rPr>
          <w:b/>
        </w:rPr>
      </w:pPr>
      <w:r>
        <w:rPr>
          <w:bCs/>
        </w:rPr>
        <w:t>Critical appraisal in 3 Steps</w:t>
      </w:r>
    </w:p>
    <w:p w14:paraId="1D61E75F" w14:textId="77777777" w:rsidR="008B35BE" w:rsidRPr="00E83D0E" w:rsidRDefault="008B35BE" w:rsidP="008B35BE">
      <w:pPr>
        <w:pStyle w:val="ListParagraph"/>
        <w:widowControl/>
        <w:numPr>
          <w:ilvl w:val="1"/>
          <w:numId w:val="3"/>
        </w:numPr>
        <w:autoSpaceDE/>
        <w:autoSpaceDN/>
        <w:spacing w:after="160" w:line="259" w:lineRule="auto"/>
        <w:contextualSpacing/>
        <w:rPr>
          <w:b/>
        </w:rPr>
      </w:pPr>
      <w:r>
        <w:rPr>
          <w:bCs/>
        </w:rPr>
        <w:t>Overview of each question in detail – (expanded info provided below for some questions)</w:t>
      </w:r>
    </w:p>
    <w:p w14:paraId="4FF5E926" w14:textId="44455B48" w:rsidR="008B35BE" w:rsidRPr="003D28C1" w:rsidRDefault="008B35BE" w:rsidP="008B35BE">
      <w:pPr>
        <w:pStyle w:val="ListParagraph"/>
        <w:widowControl/>
        <w:numPr>
          <w:ilvl w:val="0"/>
          <w:numId w:val="3"/>
        </w:numPr>
        <w:autoSpaceDE/>
        <w:autoSpaceDN/>
        <w:spacing w:after="160" w:line="259" w:lineRule="auto"/>
        <w:contextualSpacing/>
        <w:rPr>
          <w:rStyle w:val="normaltextrun"/>
          <w:b/>
        </w:rPr>
      </w:pPr>
      <w:r w:rsidRPr="003D28C1">
        <w:rPr>
          <w:b/>
          <w:bCs/>
        </w:rPr>
        <w:t xml:space="preserve">2. Was the assignment of patients to </w:t>
      </w:r>
      <w:r w:rsidR="0079597B">
        <w:rPr>
          <w:b/>
          <w:bCs/>
        </w:rPr>
        <w:t>interventions</w:t>
      </w:r>
      <w:r w:rsidRPr="003D28C1">
        <w:rPr>
          <w:b/>
          <w:bCs/>
        </w:rPr>
        <w:t xml:space="preserve"> randomized?</w:t>
      </w:r>
      <w:r w:rsidRPr="003D28C1">
        <w:rPr>
          <w:b/>
        </w:rPr>
        <w:t xml:space="preserve"> </w:t>
      </w:r>
    </w:p>
    <w:p w14:paraId="27FE3524" w14:textId="77777777" w:rsidR="008B35BE" w:rsidRDefault="008B35BE" w:rsidP="008B35BE">
      <w:pPr>
        <w:pStyle w:val="ListParagraph"/>
        <w:widowControl/>
        <w:numPr>
          <w:ilvl w:val="1"/>
          <w:numId w:val="3"/>
        </w:numPr>
        <w:autoSpaceDE/>
        <w:autoSpaceDN/>
        <w:spacing w:after="160" w:line="259" w:lineRule="auto"/>
        <w:contextualSpacing/>
      </w:pPr>
      <w:r w:rsidRPr="003D28C1">
        <w:t xml:space="preserve">If time, ask students: </w:t>
      </w:r>
    </w:p>
    <w:p w14:paraId="5E4973DA" w14:textId="77777777" w:rsidR="008B35BE" w:rsidRPr="003D28C1" w:rsidRDefault="008B35BE" w:rsidP="008B35BE">
      <w:pPr>
        <w:pStyle w:val="ListParagraph"/>
        <w:widowControl/>
        <w:numPr>
          <w:ilvl w:val="2"/>
          <w:numId w:val="3"/>
        </w:numPr>
        <w:autoSpaceDE/>
        <w:autoSpaceDN/>
        <w:spacing w:after="160" w:line="259" w:lineRule="auto"/>
        <w:contextualSpacing/>
      </w:pPr>
      <w:r w:rsidRPr="003D28C1">
        <w:t>What could happen if the researchers or the patients were able to choose which group they were in? (There could be an issue of selection bias.)</w:t>
      </w:r>
    </w:p>
    <w:p w14:paraId="42EE60DD" w14:textId="77777777" w:rsidR="008B35BE" w:rsidRPr="003D28C1" w:rsidRDefault="008B35BE" w:rsidP="008B35BE">
      <w:pPr>
        <w:pStyle w:val="ListParagraph"/>
        <w:widowControl/>
        <w:numPr>
          <w:ilvl w:val="1"/>
          <w:numId w:val="3"/>
        </w:numPr>
        <w:autoSpaceDE/>
        <w:autoSpaceDN/>
        <w:spacing w:after="160" w:line="259" w:lineRule="auto"/>
        <w:contextualSpacing/>
      </w:pPr>
      <w:r w:rsidRPr="003D28C1">
        <w:rPr>
          <w:b/>
          <w:bCs/>
        </w:rPr>
        <w:t>Selection bias</w:t>
      </w:r>
      <w:r w:rsidRPr="003D28C1">
        <w:t>: Systematic differences between baseline characteristics of the groups that are compared (biased allocation to interventions). </w:t>
      </w:r>
    </w:p>
    <w:p w14:paraId="4E06E2FD" w14:textId="519A51E5" w:rsidR="008B35BE" w:rsidRDefault="008B35BE" w:rsidP="008B35BE">
      <w:pPr>
        <w:pStyle w:val="ListParagraph"/>
        <w:widowControl/>
        <w:numPr>
          <w:ilvl w:val="0"/>
          <w:numId w:val="3"/>
        </w:numPr>
        <w:autoSpaceDE/>
        <w:autoSpaceDN/>
        <w:spacing w:after="160" w:line="259" w:lineRule="auto"/>
        <w:contextualSpacing/>
        <w:rPr>
          <w:b/>
        </w:rPr>
      </w:pPr>
      <w:r w:rsidRPr="003D28C1">
        <w:rPr>
          <w:b/>
        </w:rPr>
        <w:t xml:space="preserve">3. Were all patients who entered the </w:t>
      </w:r>
      <w:r w:rsidR="0079597B">
        <w:rPr>
          <w:b/>
        </w:rPr>
        <w:t>study</w:t>
      </w:r>
      <w:r w:rsidRPr="003D28C1">
        <w:rPr>
          <w:b/>
        </w:rPr>
        <w:t xml:space="preserve"> accounted for at its conclusion?</w:t>
      </w:r>
    </w:p>
    <w:p w14:paraId="793EE28B" w14:textId="77777777" w:rsidR="008B35BE" w:rsidRDefault="008B35BE" w:rsidP="008B35BE">
      <w:pPr>
        <w:pStyle w:val="ListParagraph"/>
        <w:widowControl/>
        <w:numPr>
          <w:ilvl w:val="1"/>
          <w:numId w:val="3"/>
        </w:numPr>
        <w:autoSpaceDE/>
        <w:autoSpaceDN/>
        <w:spacing w:after="160" w:line="259" w:lineRule="auto"/>
        <w:contextualSpacing/>
      </w:pPr>
      <w:r>
        <w:t xml:space="preserve">If time, ask students: </w:t>
      </w:r>
    </w:p>
    <w:p w14:paraId="7C85D824" w14:textId="77777777" w:rsidR="008B35BE" w:rsidRPr="003D28C1" w:rsidRDefault="008B35BE" w:rsidP="008B35BE">
      <w:pPr>
        <w:pStyle w:val="ListParagraph"/>
        <w:widowControl/>
        <w:numPr>
          <w:ilvl w:val="2"/>
          <w:numId w:val="3"/>
        </w:numPr>
        <w:autoSpaceDE/>
        <w:autoSpaceDN/>
        <w:spacing w:after="160" w:line="259" w:lineRule="auto"/>
        <w:contextualSpacing/>
      </w:pPr>
      <w:r w:rsidRPr="003D28C1">
        <w:t>How many of these patients were lost to follow up? (none)</w:t>
      </w:r>
    </w:p>
    <w:p w14:paraId="35C1E1C7" w14:textId="77777777" w:rsidR="008B35BE" w:rsidRPr="003D28C1" w:rsidRDefault="008B35BE" w:rsidP="008B35BE">
      <w:pPr>
        <w:pStyle w:val="ListParagraph"/>
        <w:widowControl/>
        <w:numPr>
          <w:ilvl w:val="2"/>
          <w:numId w:val="3"/>
        </w:numPr>
        <w:autoSpaceDE/>
        <w:autoSpaceDN/>
        <w:spacing w:after="160" w:line="259" w:lineRule="auto"/>
        <w:contextualSpacing/>
      </w:pPr>
      <w:r w:rsidRPr="003D28C1">
        <w:t>What would happen if too many patients were lost to follow up?</w:t>
      </w:r>
      <w:r>
        <w:t xml:space="preserve"> </w:t>
      </w:r>
      <w:r w:rsidRPr="003D28C1">
        <w:t>(attrition bias.)</w:t>
      </w:r>
    </w:p>
    <w:p w14:paraId="69FF5D24" w14:textId="77777777" w:rsidR="008B35BE" w:rsidRPr="003D28C1" w:rsidRDefault="008B35BE" w:rsidP="008B35BE">
      <w:pPr>
        <w:pStyle w:val="ListParagraph"/>
        <w:widowControl/>
        <w:numPr>
          <w:ilvl w:val="1"/>
          <w:numId w:val="3"/>
        </w:numPr>
        <w:autoSpaceDE/>
        <w:autoSpaceDN/>
        <w:spacing w:after="160" w:line="259" w:lineRule="auto"/>
        <w:contextualSpacing/>
        <w:rPr>
          <w:b/>
        </w:rPr>
      </w:pPr>
      <w:r w:rsidRPr="003D28C1">
        <w:rPr>
          <w:b/>
          <w:bCs/>
        </w:rPr>
        <w:t>Attrition bias</w:t>
      </w:r>
      <w:r w:rsidRPr="003D28C1">
        <w:rPr>
          <w:b/>
        </w:rPr>
        <w:t>:</w:t>
      </w:r>
      <w:r w:rsidRPr="003D28C1">
        <w:t xml:space="preserve"> Systematic differences between groups in withdraws from the study </w:t>
      </w:r>
    </w:p>
    <w:p w14:paraId="04A523B8" w14:textId="2EA9CAE2" w:rsidR="008B35BE" w:rsidRPr="003D28C1" w:rsidRDefault="008B35BE" w:rsidP="008B35BE">
      <w:pPr>
        <w:pStyle w:val="ListParagraph"/>
        <w:widowControl/>
        <w:numPr>
          <w:ilvl w:val="0"/>
          <w:numId w:val="3"/>
        </w:numPr>
        <w:autoSpaceDE/>
        <w:autoSpaceDN/>
        <w:spacing w:after="160" w:line="259" w:lineRule="auto"/>
        <w:contextualSpacing/>
        <w:rPr>
          <w:b/>
        </w:rPr>
      </w:pPr>
      <w:r w:rsidRPr="003D28C1">
        <w:rPr>
          <w:b/>
          <w:bCs/>
        </w:rPr>
        <w:t xml:space="preserve">4. Were </w:t>
      </w:r>
      <w:r w:rsidR="0079597B">
        <w:rPr>
          <w:b/>
          <w:bCs/>
        </w:rPr>
        <w:t>participants, investigators and people assessing/analyzing outcomes ‘blind’ to the intervention</w:t>
      </w:r>
      <w:r w:rsidRPr="003D28C1">
        <w:rPr>
          <w:b/>
          <w:bCs/>
        </w:rPr>
        <w:t>?</w:t>
      </w:r>
    </w:p>
    <w:p w14:paraId="4E580410" w14:textId="77777777" w:rsidR="008B35BE" w:rsidRDefault="008B35BE" w:rsidP="008B35BE">
      <w:pPr>
        <w:pStyle w:val="ListParagraph"/>
        <w:widowControl/>
        <w:numPr>
          <w:ilvl w:val="1"/>
          <w:numId w:val="3"/>
        </w:numPr>
        <w:autoSpaceDE/>
        <w:autoSpaceDN/>
        <w:spacing w:after="160" w:line="259" w:lineRule="auto"/>
        <w:contextualSpacing/>
        <w:rPr>
          <w:b/>
        </w:rPr>
      </w:pPr>
      <w:r>
        <w:t>If time, ask students</w:t>
      </w:r>
      <w:r>
        <w:rPr>
          <w:b/>
        </w:rPr>
        <w:t>:</w:t>
      </w:r>
    </w:p>
    <w:p w14:paraId="21A0B8D3" w14:textId="77777777" w:rsidR="008B35BE" w:rsidRPr="003D28C1" w:rsidRDefault="008B35BE" w:rsidP="008B35BE">
      <w:pPr>
        <w:pStyle w:val="ListParagraph"/>
        <w:widowControl/>
        <w:numPr>
          <w:ilvl w:val="2"/>
          <w:numId w:val="3"/>
        </w:numPr>
        <w:autoSpaceDE/>
        <w:autoSpaceDN/>
        <w:spacing w:after="160" w:line="259" w:lineRule="auto"/>
        <w:contextualSpacing/>
      </w:pPr>
      <w:r w:rsidRPr="003D28C1">
        <w:t>What could happen if the people involved in the study ar</w:t>
      </w:r>
      <w:r>
        <w:t>en’t</w:t>
      </w:r>
      <w:r w:rsidRPr="003D28C1">
        <w:t xml:space="preserve"> blinded?</w:t>
      </w:r>
      <w:r>
        <w:t xml:space="preserve"> </w:t>
      </w:r>
      <w:r w:rsidRPr="003D28C1">
        <w:t>(performance bias</w:t>
      </w:r>
      <w:r>
        <w:t>)</w:t>
      </w:r>
    </w:p>
    <w:p w14:paraId="2DDF366B" w14:textId="77777777" w:rsidR="008B35BE" w:rsidRPr="003D28C1" w:rsidRDefault="008B35BE" w:rsidP="008B35BE">
      <w:pPr>
        <w:pStyle w:val="ListParagraph"/>
        <w:widowControl/>
        <w:numPr>
          <w:ilvl w:val="1"/>
          <w:numId w:val="3"/>
        </w:numPr>
        <w:autoSpaceDE/>
        <w:autoSpaceDN/>
        <w:spacing w:after="160" w:line="259" w:lineRule="auto"/>
        <w:contextualSpacing/>
        <w:rPr>
          <w:b/>
        </w:rPr>
      </w:pPr>
      <w:r w:rsidRPr="003D28C1">
        <w:rPr>
          <w:b/>
          <w:bCs/>
          <w:lang w:val="en-GB"/>
        </w:rPr>
        <w:t xml:space="preserve">Performance bias: </w:t>
      </w:r>
      <w:r w:rsidRPr="003D28C1">
        <w:rPr>
          <w:lang w:val="en-GB"/>
        </w:rPr>
        <w:t>Systematic differences between groups in the care that is provided, or in exposure to factors other than the interventions of interest.</w:t>
      </w:r>
    </w:p>
    <w:p w14:paraId="67377073" w14:textId="4795AE8A" w:rsidR="008B35BE" w:rsidRPr="00ED2FB4" w:rsidRDefault="008B35BE" w:rsidP="008B35BE">
      <w:pPr>
        <w:pStyle w:val="ListParagraph"/>
        <w:widowControl/>
        <w:numPr>
          <w:ilvl w:val="0"/>
          <w:numId w:val="3"/>
        </w:numPr>
        <w:autoSpaceDE/>
        <w:autoSpaceDN/>
        <w:spacing w:after="160" w:line="259" w:lineRule="auto"/>
        <w:contextualSpacing/>
        <w:rPr>
          <w:b/>
        </w:rPr>
      </w:pPr>
      <w:r w:rsidRPr="003D28C1">
        <w:rPr>
          <w:b/>
          <w:bCs/>
        </w:rPr>
        <w:t xml:space="preserve">5. Were the </w:t>
      </w:r>
      <w:r w:rsidR="0079597B">
        <w:rPr>
          <w:b/>
          <w:bCs/>
        </w:rPr>
        <w:t xml:space="preserve">study </w:t>
      </w:r>
      <w:r w:rsidRPr="003D28C1">
        <w:rPr>
          <w:b/>
          <w:bCs/>
        </w:rPr>
        <w:t>groups similar at the start of the</w:t>
      </w:r>
      <w:r w:rsidR="0079597B">
        <w:rPr>
          <w:b/>
          <w:bCs/>
        </w:rPr>
        <w:t xml:space="preserve"> randomized control</w:t>
      </w:r>
      <w:r w:rsidRPr="003D28C1">
        <w:rPr>
          <w:b/>
          <w:bCs/>
        </w:rPr>
        <w:t xml:space="preserve"> trial?</w:t>
      </w:r>
    </w:p>
    <w:p w14:paraId="54E1D3DA" w14:textId="77777777" w:rsidR="008B35BE" w:rsidRDefault="008B35BE" w:rsidP="008B35BE">
      <w:pPr>
        <w:pStyle w:val="ListParagraph"/>
        <w:widowControl/>
        <w:numPr>
          <w:ilvl w:val="1"/>
          <w:numId w:val="3"/>
        </w:numPr>
        <w:autoSpaceDE/>
        <w:autoSpaceDN/>
        <w:spacing w:after="160" w:line="259" w:lineRule="auto"/>
        <w:contextualSpacing/>
        <w:rPr>
          <w:b/>
        </w:rPr>
      </w:pPr>
      <w:r>
        <w:t>If time, ask students</w:t>
      </w:r>
      <w:r>
        <w:rPr>
          <w:b/>
        </w:rPr>
        <w:t>:</w:t>
      </w:r>
    </w:p>
    <w:p w14:paraId="7689377F" w14:textId="77777777" w:rsidR="008B35BE" w:rsidRPr="00ED2FB4" w:rsidRDefault="008B35BE" w:rsidP="008B35BE">
      <w:pPr>
        <w:pStyle w:val="ListParagraph"/>
        <w:widowControl/>
        <w:numPr>
          <w:ilvl w:val="2"/>
          <w:numId w:val="3"/>
        </w:numPr>
        <w:autoSpaceDE/>
        <w:autoSpaceDN/>
        <w:spacing w:after="160" w:line="259" w:lineRule="auto"/>
        <w:contextualSpacing/>
      </w:pPr>
      <w:r w:rsidRPr="00ED2FB4">
        <w:t>Were these groups similar at the start of the trial?</w:t>
      </w:r>
      <w:r>
        <w:t xml:space="preserve"> </w:t>
      </w:r>
      <w:r w:rsidRPr="00ED2FB4">
        <w:t>(Yes)</w:t>
      </w:r>
    </w:p>
    <w:p w14:paraId="0922F328" w14:textId="77777777" w:rsidR="008B35BE" w:rsidRDefault="008B35BE" w:rsidP="008B35BE">
      <w:pPr>
        <w:pStyle w:val="ListParagraph"/>
        <w:widowControl/>
        <w:numPr>
          <w:ilvl w:val="0"/>
          <w:numId w:val="3"/>
        </w:numPr>
        <w:autoSpaceDE/>
        <w:autoSpaceDN/>
        <w:spacing w:after="160" w:line="259" w:lineRule="auto"/>
        <w:contextualSpacing/>
        <w:rPr>
          <w:b/>
        </w:rPr>
      </w:pPr>
      <w:r>
        <w:rPr>
          <w:b/>
        </w:rPr>
        <w:t>Statistical vs. Clinical Significance</w:t>
      </w:r>
    </w:p>
    <w:p w14:paraId="1CD70E4A" w14:textId="77777777" w:rsidR="008B35BE" w:rsidRPr="00ED2FB4" w:rsidRDefault="008B35BE" w:rsidP="008B35BE">
      <w:pPr>
        <w:pStyle w:val="ListParagraph"/>
        <w:widowControl/>
        <w:numPr>
          <w:ilvl w:val="1"/>
          <w:numId w:val="3"/>
        </w:numPr>
        <w:autoSpaceDE/>
        <w:autoSpaceDN/>
        <w:spacing w:after="160" w:line="259" w:lineRule="auto"/>
        <w:contextualSpacing/>
      </w:pPr>
      <w:r w:rsidRPr="00ED2FB4">
        <w:t>The p-value DOES NOT tell us how large the differences between the two groups are.</w:t>
      </w:r>
    </w:p>
    <w:p w14:paraId="014BEEAD" w14:textId="77777777" w:rsidR="008B35BE" w:rsidRPr="00ED2FB4" w:rsidRDefault="008B35BE" w:rsidP="008B35BE">
      <w:pPr>
        <w:pStyle w:val="ListParagraph"/>
        <w:widowControl/>
        <w:numPr>
          <w:ilvl w:val="1"/>
          <w:numId w:val="3"/>
        </w:numPr>
        <w:autoSpaceDE/>
        <w:autoSpaceDN/>
        <w:spacing w:after="160" w:line="259" w:lineRule="auto"/>
        <w:contextualSpacing/>
      </w:pPr>
      <w:r w:rsidRPr="00ED2FB4">
        <w:t>These results are statistically significant but we don’t know if they are clinically significant. We don’t know if the difference between groups is large enough for the treatment to be worth it.</w:t>
      </w:r>
    </w:p>
    <w:p w14:paraId="59100264" w14:textId="77777777" w:rsidR="008B35BE" w:rsidRPr="00ED2FB4" w:rsidRDefault="008B35BE" w:rsidP="008B35BE">
      <w:pPr>
        <w:pStyle w:val="ListParagraph"/>
        <w:widowControl/>
        <w:numPr>
          <w:ilvl w:val="1"/>
          <w:numId w:val="3"/>
        </w:numPr>
        <w:autoSpaceDE/>
        <w:autoSpaceDN/>
        <w:spacing w:after="160" w:line="259" w:lineRule="auto"/>
        <w:contextualSpacing/>
      </w:pPr>
      <w:r w:rsidRPr="00ED2FB4">
        <w:t>Studies can be statistically significant yet not clinically insignificant.</w:t>
      </w:r>
    </w:p>
    <w:p w14:paraId="5638A23A" w14:textId="5E926F82" w:rsidR="008B35BE" w:rsidRPr="00ED2FB4" w:rsidRDefault="008B35BE" w:rsidP="008B35BE">
      <w:pPr>
        <w:pStyle w:val="ListParagraph"/>
        <w:widowControl/>
        <w:numPr>
          <w:ilvl w:val="0"/>
          <w:numId w:val="3"/>
        </w:numPr>
        <w:autoSpaceDE/>
        <w:autoSpaceDN/>
        <w:spacing w:after="160" w:line="259" w:lineRule="auto"/>
        <w:contextualSpacing/>
        <w:rPr>
          <w:b/>
        </w:rPr>
      </w:pPr>
      <w:r>
        <w:rPr>
          <w:b/>
          <w:bCs/>
        </w:rPr>
        <w:t xml:space="preserve">8. </w:t>
      </w:r>
      <w:r w:rsidR="0079597B">
        <w:rPr>
          <w:b/>
          <w:bCs/>
        </w:rPr>
        <w:t>Was the precision of the estimate of the intervention or treatment effect reported</w:t>
      </w:r>
      <w:r w:rsidRPr="00ED2FB4">
        <w:rPr>
          <w:b/>
          <w:bCs/>
        </w:rPr>
        <w:t>?</w:t>
      </w:r>
    </w:p>
    <w:p w14:paraId="55B45F97" w14:textId="77777777" w:rsidR="008B35BE" w:rsidRPr="00ED2FB4" w:rsidRDefault="008B35BE" w:rsidP="008B35BE">
      <w:pPr>
        <w:pStyle w:val="ListParagraph"/>
        <w:widowControl/>
        <w:numPr>
          <w:ilvl w:val="1"/>
          <w:numId w:val="3"/>
        </w:numPr>
        <w:autoSpaceDE/>
        <w:autoSpaceDN/>
        <w:spacing w:after="160" w:line="259" w:lineRule="auto"/>
        <w:contextualSpacing/>
      </w:pPr>
      <w:r w:rsidRPr="00ED2FB4">
        <w:t>Patients who received gastric-bypass were 7.5 times as likely to have diabetes remission as those who had medical-therapy.</w:t>
      </w:r>
    </w:p>
    <w:p w14:paraId="03C3F981" w14:textId="77777777" w:rsidR="008B35BE" w:rsidRPr="00ED2FB4" w:rsidRDefault="008B35BE" w:rsidP="008B35BE">
      <w:pPr>
        <w:pStyle w:val="ListParagraph"/>
        <w:widowControl/>
        <w:numPr>
          <w:ilvl w:val="1"/>
          <w:numId w:val="3"/>
        </w:numPr>
        <w:autoSpaceDE/>
        <w:autoSpaceDN/>
        <w:spacing w:after="160" w:line="259" w:lineRule="auto"/>
        <w:contextualSpacing/>
      </w:pPr>
      <w:r w:rsidRPr="00ED2FB4">
        <w:t xml:space="preserve">Patients who received </w:t>
      </w:r>
      <w:proofErr w:type="spellStart"/>
      <w:r w:rsidRPr="00ED2FB4">
        <w:t>bibliopancreatic</w:t>
      </w:r>
      <w:proofErr w:type="spellEnd"/>
      <w:r w:rsidRPr="00ED2FB4">
        <w:t>-diversion were 9.5 times as likely to have diabetes remission as those who had medical-therapy.</w:t>
      </w:r>
    </w:p>
    <w:p w14:paraId="69598FF0" w14:textId="77777777" w:rsidR="00AA6A62" w:rsidRDefault="00AA6A62">
      <w:pPr>
        <w:pStyle w:val="BodyText"/>
        <w:rPr>
          <w:sz w:val="20"/>
        </w:rPr>
      </w:pPr>
    </w:p>
    <w:p w14:paraId="4C98F2F1" w14:textId="59843578" w:rsidR="008B35BE" w:rsidRDefault="008B35BE">
      <w:pPr>
        <w:rPr>
          <w:sz w:val="18"/>
        </w:rPr>
      </w:pPr>
      <w:r>
        <w:rPr>
          <w:sz w:val="18"/>
        </w:rPr>
        <w:br w:type="page"/>
      </w:r>
    </w:p>
    <w:p w14:paraId="4488A97C" w14:textId="06A08559" w:rsidR="008B35BE" w:rsidRPr="00D46C88" w:rsidRDefault="008B35BE" w:rsidP="008B35BE">
      <w:pPr>
        <w:spacing w:line="300" w:lineRule="auto"/>
        <w:rPr>
          <w:color w:val="FF0000"/>
        </w:rPr>
      </w:pPr>
      <w:r>
        <w:rPr>
          <w:b/>
        </w:rPr>
        <w:lastRenderedPageBreak/>
        <w:t>Intro to Critical Appraisal Small Group</w:t>
      </w:r>
      <w:r w:rsidR="009C7E5F">
        <w:rPr>
          <w:b/>
        </w:rPr>
        <w:t xml:space="preserve"> Activity</w:t>
      </w:r>
      <w:r>
        <w:rPr>
          <w:b/>
        </w:rPr>
        <w:t xml:space="preserve"> </w:t>
      </w:r>
      <w:r w:rsidRPr="00D46C88">
        <w:rPr>
          <w:b/>
        </w:rPr>
        <w:t xml:space="preserve">Outline: </w:t>
      </w:r>
      <w:r w:rsidRPr="00D46C88">
        <w:rPr>
          <w:color w:val="FF0000"/>
        </w:rPr>
        <w:t>(</w:t>
      </w:r>
      <w:r>
        <w:rPr>
          <w:color w:val="FF0000"/>
        </w:rPr>
        <w:t>60</w:t>
      </w:r>
      <w:r w:rsidRPr="00D46C88">
        <w:rPr>
          <w:color w:val="FF0000"/>
        </w:rPr>
        <w:t xml:space="preserve"> minutes)</w:t>
      </w:r>
    </w:p>
    <w:p w14:paraId="400412A6" w14:textId="268966FA" w:rsidR="00AA6A62" w:rsidRDefault="001B62C8" w:rsidP="001B62C8">
      <w:pPr>
        <w:pStyle w:val="BodyText"/>
        <w:numPr>
          <w:ilvl w:val="0"/>
          <w:numId w:val="4"/>
        </w:numPr>
        <w:spacing w:before="2"/>
        <w:rPr>
          <w:sz w:val="24"/>
          <w:szCs w:val="24"/>
        </w:rPr>
      </w:pPr>
      <w:r w:rsidRPr="000A774E">
        <w:rPr>
          <w:sz w:val="24"/>
          <w:szCs w:val="24"/>
        </w:rPr>
        <w:t>Divide the students into groups of appro</w:t>
      </w:r>
      <w:r w:rsidR="000A774E" w:rsidRPr="000A774E">
        <w:rPr>
          <w:sz w:val="24"/>
          <w:szCs w:val="24"/>
        </w:rPr>
        <w:t>ximately</w:t>
      </w:r>
      <w:r w:rsidR="000A774E">
        <w:rPr>
          <w:sz w:val="24"/>
          <w:szCs w:val="24"/>
        </w:rPr>
        <w:t xml:space="preserve"> 8-10 students per group</w:t>
      </w:r>
    </w:p>
    <w:p w14:paraId="00405D2A" w14:textId="74CED7CA" w:rsidR="000A774E" w:rsidRDefault="000A774E" w:rsidP="001B62C8">
      <w:pPr>
        <w:pStyle w:val="BodyText"/>
        <w:numPr>
          <w:ilvl w:val="0"/>
          <w:numId w:val="4"/>
        </w:numPr>
        <w:spacing w:before="2"/>
        <w:rPr>
          <w:sz w:val="24"/>
          <w:szCs w:val="24"/>
        </w:rPr>
      </w:pPr>
      <w:r w:rsidRPr="000A774E">
        <w:rPr>
          <w:sz w:val="24"/>
          <w:szCs w:val="24"/>
        </w:rPr>
        <w:t xml:space="preserve">Start by playing the quick take video (1min 31sec) for the students at: </w:t>
      </w:r>
      <w:hyperlink r:id="rId12" w:history="1">
        <w:r w:rsidRPr="00CC4A37">
          <w:rPr>
            <w:rStyle w:val="Hyperlink"/>
            <w:sz w:val="24"/>
            <w:szCs w:val="24"/>
          </w:rPr>
          <w:t>https://www.nejm.org/doi/full/10.1056/NEJMoa1800566</w:t>
        </w:r>
      </w:hyperlink>
      <w:r>
        <w:rPr>
          <w:sz w:val="24"/>
          <w:szCs w:val="24"/>
        </w:rPr>
        <w:t xml:space="preserve"> </w:t>
      </w:r>
    </w:p>
    <w:p w14:paraId="675BCBED" w14:textId="10FB82DA" w:rsidR="000A774E" w:rsidRDefault="000A774E" w:rsidP="001B62C8">
      <w:pPr>
        <w:pStyle w:val="BodyText"/>
        <w:numPr>
          <w:ilvl w:val="0"/>
          <w:numId w:val="4"/>
        </w:numPr>
        <w:spacing w:before="2"/>
        <w:rPr>
          <w:sz w:val="24"/>
          <w:szCs w:val="24"/>
        </w:rPr>
      </w:pPr>
      <w:r>
        <w:rPr>
          <w:sz w:val="24"/>
          <w:szCs w:val="24"/>
        </w:rPr>
        <w:t>Pass out the Small Group Activity Intro to Critical Appraisal Discussion Questions – Student Copy to each student</w:t>
      </w:r>
    </w:p>
    <w:p w14:paraId="3E394D41" w14:textId="7AF014D3" w:rsidR="000A774E" w:rsidRDefault="000A774E" w:rsidP="001B62C8">
      <w:pPr>
        <w:pStyle w:val="BodyText"/>
        <w:numPr>
          <w:ilvl w:val="0"/>
          <w:numId w:val="4"/>
        </w:numPr>
        <w:spacing w:before="2"/>
        <w:rPr>
          <w:sz w:val="24"/>
          <w:szCs w:val="24"/>
        </w:rPr>
      </w:pPr>
      <w:r>
        <w:rPr>
          <w:sz w:val="24"/>
          <w:szCs w:val="24"/>
        </w:rPr>
        <w:t>As a group, go over the discussion questions in the Small Group Activity Intro to Critical Appraisal Discussion Questions – Instructor Copy</w:t>
      </w:r>
    </w:p>
    <w:p w14:paraId="4452157C" w14:textId="77777777" w:rsidR="00AC4D3F" w:rsidRDefault="000A774E" w:rsidP="00AC4D3F">
      <w:pPr>
        <w:pStyle w:val="BodyText"/>
        <w:numPr>
          <w:ilvl w:val="0"/>
          <w:numId w:val="4"/>
        </w:numPr>
        <w:spacing w:before="2"/>
        <w:rPr>
          <w:sz w:val="24"/>
          <w:szCs w:val="24"/>
        </w:rPr>
      </w:pPr>
      <w:r>
        <w:rPr>
          <w:sz w:val="24"/>
          <w:szCs w:val="24"/>
        </w:rPr>
        <w:t>Encourage the students to answer on their own first, but guide them to the answer if they are unable to determine the correct response</w:t>
      </w:r>
    </w:p>
    <w:p w14:paraId="4C98F2F2" w14:textId="1357E028" w:rsidR="00AA6A62" w:rsidRPr="00AC4D3F" w:rsidRDefault="00AC4D3F" w:rsidP="00AC4D3F">
      <w:pPr>
        <w:pStyle w:val="BodyText"/>
        <w:numPr>
          <w:ilvl w:val="0"/>
          <w:numId w:val="4"/>
        </w:numPr>
        <w:spacing w:before="2"/>
        <w:rPr>
          <w:sz w:val="24"/>
          <w:szCs w:val="24"/>
        </w:rPr>
      </w:pPr>
      <w:r w:rsidRPr="00AC4D3F">
        <w:rPr>
          <w:sz w:val="24"/>
          <w:szCs w:val="24"/>
        </w:rPr>
        <w:t>Share the Small Group Activity CASP-RCT-Checklist Example for Discussion Article</w:t>
      </w:r>
      <w:r>
        <w:rPr>
          <w:sz w:val="24"/>
          <w:szCs w:val="24"/>
        </w:rPr>
        <w:t xml:space="preserve"> document with the students at the end of the session</w:t>
      </w:r>
      <w:bookmarkStart w:id="0" w:name="_GoBack"/>
      <w:bookmarkEnd w:id="0"/>
    </w:p>
    <w:sectPr w:rsidR="00AA6A62" w:rsidRPr="00AC4D3F">
      <w:type w:val="continuous"/>
      <w:pgSz w:w="12240" w:h="15840"/>
      <w:pgMar w:top="150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F370F" w14:textId="77777777" w:rsidR="00EE5BF4" w:rsidRDefault="00EE5BF4" w:rsidP="00EE5BF4">
      <w:r>
        <w:separator/>
      </w:r>
    </w:p>
  </w:endnote>
  <w:endnote w:type="continuationSeparator" w:id="0">
    <w:p w14:paraId="623918D7" w14:textId="77777777" w:rsidR="00EE5BF4" w:rsidRDefault="00EE5BF4" w:rsidP="00EE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FD41E" w14:textId="77777777" w:rsidR="00EE5BF4" w:rsidRDefault="00EE5BF4" w:rsidP="00EE5BF4">
      <w:r>
        <w:separator/>
      </w:r>
    </w:p>
  </w:footnote>
  <w:footnote w:type="continuationSeparator" w:id="0">
    <w:p w14:paraId="690A75B9" w14:textId="77777777" w:rsidR="00EE5BF4" w:rsidRDefault="00EE5BF4" w:rsidP="00EE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71DC0"/>
    <w:multiLevelType w:val="hybridMultilevel"/>
    <w:tmpl w:val="06567EFC"/>
    <w:lvl w:ilvl="0" w:tplc="0C2E8844">
      <w:start w:val="1"/>
      <w:numFmt w:val="decimal"/>
      <w:lvlText w:val="%1."/>
      <w:lvlJc w:val="left"/>
      <w:pPr>
        <w:ind w:left="828" w:hanging="360"/>
      </w:pPr>
      <w:rPr>
        <w:rFonts w:ascii="Arial" w:eastAsia="Arial" w:hAnsi="Arial" w:cs="Arial" w:hint="default"/>
        <w:spacing w:val="-1"/>
        <w:w w:val="100"/>
        <w:sz w:val="22"/>
        <w:szCs w:val="22"/>
        <w:lang w:val="en-US" w:eastAsia="en-US" w:bidi="en-US"/>
      </w:rPr>
    </w:lvl>
    <w:lvl w:ilvl="1" w:tplc="3ECEBEFA">
      <w:numFmt w:val="bullet"/>
      <w:lvlText w:val="•"/>
      <w:lvlJc w:val="left"/>
      <w:pPr>
        <w:ind w:left="1782" w:hanging="360"/>
      </w:pPr>
      <w:rPr>
        <w:rFonts w:hint="default"/>
        <w:lang w:val="en-US" w:eastAsia="en-US" w:bidi="en-US"/>
      </w:rPr>
    </w:lvl>
    <w:lvl w:ilvl="2" w:tplc="F0EC2006">
      <w:numFmt w:val="bullet"/>
      <w:lvlText w:val="•"/>
      <w:lvlJc w:val="left"/>
      <w:pPr>
        <w:ind w:left="2744" w:hanging="360"/>
      </w:pPr>
      <w:rPr>
        <w:rFonts w:hint="default"/>
        <w:lang w:val="en-US" w:eastAsia="en-US" w:bidi="en-US"/>
      </w:rPr>
    </w:lvl>
    <w:lvl w:ilvl="3" w:tplc="EF4E2A40">
      <w:numFmt w:val="bullet"/>
      <w:lvlText w:val="•"/>
      <w:lvlJc w:val="left"/>
      <w:pPr>
        <w:ind w:left="3706" w:hanging="360"/>
      </w:pPr>
      <w:rPr>
        <w:rFonts w:hint="default"/>
        <w:lang w:val="en-US" w:eastAsia="en-US" w:bidi="en-US"/>
      </w:rPr>
    </w:lvl>
    <w:lvl w:ilvl="4" w:tplc="5088D94E">
      <w:numFmt w:val="bullet"/>
      <w:lvlText w:val="•"/>
      <w:lvlJc w:val="left"/>
      <w:pPr>
        <w:ind w:left="4668" w:hanging="360"/>
      </w:pPr>
      <w:rPr>
        <w:rFonts w:hint="default"/>
        <w:lang w:val="en-US" w:eastAsia="en-US" w:bidi="en-US"/>
      </w:rPr>
    </w:lvl>
    <w:lvl w:ilvl="5" w:tplc="2F8EE77E">
      <w:numFmt w:val="bullet"/>
      <w:lvlText w:val="•"/>
      <w:lvlJc w:val="left"/>
      <w:pPr>
        <w:ind w:left="5630" w:hanging="360"/>
      </w:pPr>
      <w:rPr>
        <w:rFonts w:hint="default"/>
        <w:lang w:val="en-US" w:eastAsia="en-US" w:bidi="en-US"/>
      </w:rPr>
    </w:lvl>
    <w:lvl w:ilvl="6" w:tplc="4B241020">
      <w:numFmt w:val="bullet"/>
      <w:lvlText w:val="•"/>
      <w:lvlJc w:val="left"/>
      <w:pPr>
        <w:ind w:left="6592" w:hanging="360"/>
      </w:pPr>
      <w:rPr>
        <w:rFonts w:hint="default"/>
        <w:lang w:val="en-US" w:eastAsia="en-US" w:bidi="en-US"/>
      </w:rPr>
    </w:lvl>
    <w:lvl w:ilvl="7" w:tplc="107477E6">
      <w:numFmt w:val="bullet"/>
      <w:lvlText w:val="•"/>
      <w:lvlJc w:val="left"/>
      <w:pPr>
        <w:ind w:left="7554" w:hanging="360"/>
      </w:pPr>
      <w:rPr>
        <w:rFonts w:hint="default"/>
        <w:lang w:val="en-US" w:eastAsia="en-US" w:bidi="en-US"/>
      </w:rPr>
    </w:lvl>
    <w:lvl w:ilvl="8" w:tplc="2B56029E">
      <w:numFmt w:val="bullet"/>
      <w:lvlText w:val="•"/>
      <w:lvlJc w:val="left"/>
      <w:pPr>
        <w:ind w:left="8516" w:hanging="360"/>
      </w:pPr>
      <w:rPr>
        <w:rFonts w:hint="default"/>
        <w:lang w:val="en-US" w:eastAsia="en-US" w:bidi="en-US"/>
      </w:rPr>
    </w:lvl>
  </w:abstractNum>
  <w:abstractNum w:abstractNumId="1" w15:restartNumberingAfterBreak="0">
    <w:nsid w:val="33DB06E1"/>
    <w:multiLevelType w:val="hybridMultilevel"/>
    <w:tmpl w:val="17B8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24BDF"/>
    <w:multiLevelType w:val="hybridMultilevel"/>
    <w:tmpl w:val="D2B61224"/>
    <w:lvl w:ilvl="0" w:tplc="332EB12E">
      <w:start w:val="1"/>
      <w:numFmt w:val="decimal"/>
      <w:lvlText w:val="%1."/>
      <w:lvlJc w:val="left"/>
      <w:pPr>
        <w:ind w:left="828" w:hanging="360"/>
      </w:pPr>
      <w:rPr>
        <w:rFonts w:ascii="Arial" w:eastAsia="Arial" w:hAnsi="Arial" w:cs="Arial" w:hint="default"/>
        <w:spacing w:val="-1"/>
        <w:w w:val="100"/>
        <w:sz w:val="22"/>
        <w:szCs w:val="22"/>
        <w:lang w:val="en-US" w:eastAsia="en-US" w:bidi="en-US"/>
      </w:rPr>
    </w:lvl>
    <w:lvl w:ilvl="1" w:tplc="DD721F48">
      <w:numFmt w:val="bullet"/>
      <w:lvlText w:val="•"/>
      <w:lvlJc w:val="left"/>
      <w:pPr>
        <w:ind w:left="1782" w:hanging="360"/>
      </w:pPr>
      <w:rPr>
        <w:rFonts w:hint="default"/>
        <w:lang w:val="en-US" w:eastAsia="en-US" w:bidi="en-US"/>
      </w:rPr>
    </w:lvl>
    <w:lvl w:ilvl="2" w:tplc="510CACC8">
      <w:numFmt w:val="bullet"/>
      <w:lvlText w:val="•"/>
      <w:lvlJc w:val="left"/>
      <w:pPr>
        <w:ind w:left="2744" w:hanging="360"/>
      </w:pPr>
      <w:rPr>
        <w:rFonts w:hint="default"/>
        <w:lang w:val="en-US" w:eastAsia="en-US" w:bidi="en-US"/>
      </w:rPr>
    </w:lvl>
    <w:lvl w:ilvl="3" w:tplc="12722774">
      <w:numFmt w:val="bullet"/>
      <w:lvlText w:val="•"/>
      <w:lvlJc w:val="left"/>
      <w:pPr>
        <w:ind w:left="3706" w:hanging="360"/>
      </w:pPr>
      <w:rPr>
        <w:rFonts w:hint="default"/>
        <w:lang w:val="en-US" w:eastAsia="en-US" w:bidi="en-US"/>
      </w:rPr>
    </w:lvl>
    <w:lvl w:ilvl="4" w:tplc="F204155C">
      <w:numFmt w:val="bullet"/>
      <w:lvlText w:val="•"/>
      <w:lvlJc w:val="left"/>
      <w:pPr>
        <w:ind w:left="4668" w:hanging="360"/>
      </w:pPr>
      <w:rPr>
        <w:rFonts w:hint="default"/>
        <w:lang w:val="en-US" w:eastAsia="en-US" w:bidi="en-US"/>
      </w:rPr>
    </w:lvl>
    <w:lvl w:ilvl="5" w:tplc="EE48DB62">
      <w:numFmt w:val="bullet"/>
      <w:lvlText w:val="•"/>
      <w:lvlJc w:val="left"/>
      <w:pPr>
        <w:ind w:left="5630" w:hanging="360"/>
      </w:pPr>
      <w:rPr>
        <w:rFonts w:hint="default"/>
        <w:lang w:val="en-US" w:eastAsia="en-US" w:bidi="en-US"/>
      </w:rPr>
    </w:lvl>
    <w:lvl w:ilvl="6" w:tplc="C1EAE7E8">
      <w:numFmt w:val="bullet"/>
      <w:lvlText w:val="•"/>
      <w:lvlJc w:val="left"/>
      <w:pPr>
        <w:ind w:left="6592" w:hanging="360"/>
      </w:pPr>
      <w:rPr>
        <w:rFonts w:hint="default"/>
        <w:lang w:val="en-US" w:eastAsia="en-US" w:bidi="en-US"/>
      </w:rPr>
    </w:lvl>
    <w:lvl w:ilvl="7" w:tplc="62EEB3EA">
      <w:numFmt w:val="bullet"/>
      <w:lvlText w:val="•"/>
      <w:lvlJc w:val="left"/>
      <w:pPr>
        <w:ind w:left="7554" w:hanging="360"/>
      </w:pPr>
      <w:rPr>
        <w:rFonts w:hint="default"/>
        <w:lang w:val="en-US" w:eastAsia="en-US" w:bidi="en-US"/>
      </w:rPr>
    </w:lvl>
    <w:lvl w:ilvl="8" w:tplc="84146BE4">
      <w:numFmt w:val="bullet"/>
      <w:lvlText w:val="•"/>
      <w:lvlJc w:val="left"/>
      <w:pPr>
        <w:ind w:left="8516" w:hanging="360"/>
      </w:pPr>
      <w:rPr>
        <w:rFonts w:hint="default"/>
        <w:lang w:val="en-US" w:eastAsia="en-US" w:bidi="en-US"/>
      </w:rPr>
    </w:lvl>
  </w:abstractNum>
  <w:abstractNum w:abstractNumId="3" w15:restartNumberingAfterBreak="0">
    <w:nsid w:val="7F1A5CE5"/>
    <w:multiLevelType w:val="hybridMultilevel"/>
    <w:tmpl w:val="CA247B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62"/>
    <w:rsid w:val="000A774E"/>
    <w:rsid w:val="00150AB5"/>
    <w:rsid w:val="001B62C8"/>
    <w:rsid w:val="00287550"/>
    <w:rsid w:val="004737AB"/>
    <w:rsid w:val="00564862"/>
    <w:rsid w:val="00636C12"/>
    <w:rsid w:val="00692711"/>
    <w:rsid w:val="006E0257"/>
    <w:rsid w:val="0079597B"/>
    <w:rsid w:val="007C0AF9"/>
    <w:rsid w:val="008B35BE"/>
    <w:rsid w:val="009B3EBE"/>
    <w:rsid w:val="009C7E5F"/>
    <w:rsid w:val="00AA6A62"/>
    <w:rsid w:val="00AC4D3F"/>
    <w:rsid w:val="00B37286"/>
    <w:rsid w:val="00BA41CF"/>
    <w:rsid w:val="00CA579C"/>
    <w:rsid w:val="00D47DA2"/>
    <w:rsid w:val="00DC2ECB"/>
    <w:rsid w:val="00E83C3A"/>
    <w:rsid w:val="00ED48AB"/>
    <w:rsid w:val="00EE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2D0"/>
  <w15:docId w15:val="{89C6F7D4-8377-488B-83CB-FC006268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52" w:lineRule="exact"/>
      <w:ind w:left="828"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35BE"/>
  </w:style>
  <w:style w:type="paragraph" w:styleId="FootnoteText">
    <w:name w:val="footnote text"/>
    <w:basedOn w:val="Normal"/>
    <w:link w:val="FootnoteTextChar"/>
    <w:uiPriority w:val="99"/>
    <w:semiHidden/>
    <w:unhideWhenUsed/>
    <w:rsid w:val="00EE5BF4"/>
    <w:rPr>
      <w:sz w:val="20"/>
      <w:szCs w:val="20"/>
    </w:rPr>
  </w:style>
  <w:style w:type="character" w:customStyle="1" w:styleId="FootnoteTextChar">
    <w:name w:val="Footnote Text Char"/>
    <w:basedOn w:val="DefaultParagraphFont"/>
    <w:link w:val="FootnoteText"/>
    <w:uiPriority w:val="99"/>
    <w:semiHidden/>
    <w:rsid w:val="00EE5BF4"/>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EE5BF4"/>
    <w:rPr>
      <w:vertAlign w:val="superscript"/>
    </w:rPr>
  </w:style>
  <w:style w:type="character" w:styleId="Hyperlink">
    <w:name w:val="Hyperlink"/>
    <w:basedOn w:val="DefaultParagraphFont"/>
    <w:uiPriority w:val="99"/>
    <w:unhideWhenUsed/>
    <w:rsid w:val="000A774E"/>
    <w:rPr>
      <w:color w:val="0000FF" w:themeColor="hyperlink"/>
      <w:u w:val="single"/>
    </w:rPr>
  </w:style>
  <w:style w:type="character" w:styleId="UnresolvedMention">
    <w:name w:val="Unresolved Mention"/>
    <w:basedOn w:val="DefaultParagraphFont"/>
    <w:uiPriority w:val="99"/>
    <w:semiHidden/>
    <w:unhideWhenUsed/>
    <w:rsid w:val="000A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8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jm.org/doi/full/10.1056/NEJMoa18005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F62E528B3A1479F864AD8E29FC7CD" ma:contentTypeVersion="15" ma:contentTypeDescription="Create a new document." ma:contentTypeScope="" ma:versionID="737d8efd091c5c5804ce0c5706587320">
  <xsd:schema xmlns:xsd="http://www.w3.org/2001/XMLSchema" xmlns:xs="http://www.w3.org/2001/XMLSchema" xmlns:p="http://schemas.microsoft.com/office/2006/metadata/properties" xmlns:ns3="2d27c300-3ebb-4b1c-b042-ddbc85e73500" xmlns:ns4="1d56124d-a371-4236-b923-a76eb5a18232" targetNamespace="http://schemas.microsoft.com/office/2006/metadata/properties" ma:root="true" ma:fieldsID="2b792a66de1846583354830729fb1850" ns3:_="" ns4:_="">
    <xsd:import namespace="2d27c300-3ebb-4b1c-b042-ddbc85e73500"/>
    <xsd:import namespace="1d56124d-a371-4236-b923-a76eb5a182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7c300-3ebb-4b1c-b042-ddbc85e7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6124d-a371-4236-b923-a76eb5a182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27c300-3ebb-4b1c-b042-ddbc85e73500"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21B22B-E70C-4294-9FB5-8E913552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7c300-3ebb-4b1c-b042-ddbc85e73500"/>
    <ds:schemaRef ds:uri="1d56124d-a371-4236-b923-a76eb5a1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C51FA-BE82-4611-B0D4-4C867F368AE1}">
  <ds:schemaRefs>
    <ds:schemaRef ds:uri="http://schemas.microsoft.com/sharepoint/v3/contenttype/forms"/>
  </ds:schemaRefs>
</ds:datastoreItem>
</file>

<file path=customXml/itemProps3.xml><?xml version="1.0" encoding="utf-8"?>
<ds:datastoreItem xmlns:ds="http://schemas.openxmlformats.org/officeDocument/2006/customXml" ds:itemID="{E752B8D2-C10A-423F-96CB-4676B8B0DC49}">
  <ds:schemaRefs>
    <ds:schemaRef ds:uri="1d56124d-a371-4236-b923-a76eb5a18232"/>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infopath/2007/PartnerControls"/>
    <ds:schemaRef ds:uri="2d27c300-3ebb-4b1c-b042-ddbc85e73500"/>
    <ds:schemaRef ds:uri="http://schemas.microsoft.com/office/2006/metadata/properties"/>
  </ds:schemaRefs>
</ds:datastoreItem>
</file>

<file path=customXml/itemProps4.xml><?xml version="1.0" encoding="utf-8"?>
<ds:datastoreItem xmlns:ds="http://schemas.openxmlformats.org/officeDocument/2006/customXml" ds:itemID="{1E80DD42-1EBD-42F9-A52D-4E3D3FFF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mwbrown</dc:creator>
  <cp:lastModifiedBy>Michelle Knecht</cp:lastModifiedBy>
  <cp:revision>18</cp:revision>
  <dcterms:created xsi:type="dcterms:W3CDTF">2023-02-02T19:55:00Z</dcterms:created>
  <dcterms:modified xsi:type="dcterms:W3CDTF">2023-05-23T16:17:00Z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2019</vt:lpwstr>
  </property>
  <property fmtid="{D5CDD505-2E9C-101B-9397-08002B2CF9AE}" pid="4" name="LastSaved">
    <vt:filetime>2023-02-02T00:00:00Z</vt:filetime>
  </property>
  <property fmtid="{D5CDD505-2E9C-101B-9397-08002B2CF9AE}" pid="5" name="ContentTypeId">
    <vt:lpwstr>0x01010053CF62E528B3A1479F864AD8E29FC7CD</vt:lpwstr>
  </property>
</Properties>
</file>